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6446" w14:textId="77777777" w:rsidR="00383F41" w:rsidRDefault="004178CB" w:rsidP="00383F41">
      <w:pPr>
        <w:ind w:left="5184" w:firstLine="12"/>
      </w:pPr>
      <w:r>
        <w:t xml:space="preserve">  </w:t>
      </w:r>
    </w:p>
    <w:tbl>
      <w:tblPr>
        <w:tblStyle w:val="Lentelstinklelis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383F41" w:rsidRPr="00B87AB4" w14:paraId="1B9A1A4B" w14:textId="77777777" w:rsidTr="00FE4C59">
        <w:tc>
          <w:tcPr>
            <w:tcW w:w="3832" w:type="dxa"/>
          </w:tcPr>
          <w:p w14:paraId="01BBC5A6" w14:textId="77777777" w:rsidR="00383F41" w:rsidRPr="00B87AB4" w:rsidRDefault="00383F41" w:rsidP="00195A57">
            <w:pPr>
              <w:rPr>
                <w:color w:val="000000"/>
              </w:rPr>
            </w:pPr>
            <w:r w:rsidRPr="00B87AB4">
              <w:rPr>
                <w:color w:val="000000"/>
              </w:rPr>
              <w:t>PATVIRTINTA</w:t>
            </w:r>
          </w:p>
        </w:tc>
      </w:tr>
      <w:tr w:rsidR="00383F41" w:rsidRPr="00B87AB4" w14:paraId="59B94437" w14:textId="77777777" w:rsidTr="00FE4C59">
        <w:tc>
          <w:tcPr>
            <w:tcW w:w="3832" w:type="dxa"/>
          </w:tcPr>
          <w:p w14:paraId="01EF7071" w14:textId="444CF5C2" w:rsidR="00383F41" w:rsidRPr="00B87AB4" w:rsidRDefault="00FE4C59" w:rsidP="00FE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Kauno r. </w:t>
            </w:r>
            <w:r w:rsidR="00383F41" w:rsidRPr="00B87AB4">
              <w:rPr>
                <w:color w:val="000000"/>
              </w:rPr>
              <w:t>Karmėlavos Balio Buračo</w:t>
            </w:r>
          </w:p>
        </w:tc>
      </w:tr>
      <w:tr w:rsidR="00383F41" w:rsidRPr="00B87AB4" w14:paraId="097419C3" w14:textId="77777777" w:rsidTr="00FE4C59">
        <w:tc>
          <w:tcPr>
            <w:tcW w:w="3832" w:type="dxa"/>
          </w:tcPr>
          <w:p w14:paraId="337ACF6B" w14:textId="77777777" w:rsidR="00383F41" w:rsidRPr="00B87AB4" w:rsidRDefault="00383F41" w:rsidP="00195A57">
            <w:pPr>
              <w:rPr>
                <w:color w:val="000000"/>
              </w:rPr>
            </w:pPr>
            <w:r w:rsidRPr="00B87AB4">
              <w:rPr>
                <w:color w:val="000000"/>
              </w:rPr>
              <w:t>gimnazijos 2020 m. lapkričio</w:t>
            </w:r>
            <w:r>
              <w:rPr>
                <w:color w:val="000000"/>
              </w:rPr>
              <w:t xml:space="preserve"> 17 d.</w:t>
            </w:r>
          </w:p>
        </w:tc>
      </w:tr>
      <w:tr w:rsidR="00383F41" w:rsidRPr="00B87AB4" w14:paraId="79A54CDD" w14:textId="77777777" w:rsidTr="00FE4C59">
        <w:tc>
          <w:tcPr>
            <w:tcW w:w="3832" w:type="dxa"/>
          </w:tcPr>
          <w:p w14:paraId="460CF1CE" w14:textId="77777777" w:rsidR="00383F41" w:rsidRPr="00B87AB4" w:rsidRDefault="00383F41" w:rsidP="00195A57">
            <w:pPr>
              <w:rPr>
                <w:color w:val="000000"/>
              </w:rPr>
            </w:pPr>
            <w:r w:rsidRPr="00B87AB4">
              <w:rPr>
                <w:color w:val="000000"/>
              </w:rPr>
              <w:t>direktoriaus įsakymu Nr. V-</w:t>
            </w:r>
            <w:r>
              <w:rPr>
                <w:color w:val="000000"/>
              </w:rPr>
              <w:t>244-1.3</w:t>
            </w:r>
          </w:p>
        </w:tc>
      </w:tr>
    </w:tbl>
    <w:p w14:paraId="15849177" w14:textId="25132D95" w:rsidR="0040063F" w:rsidRDefault="0040063F" w:rsidP="00383F41">
      <w:pPr>
        <w:ind w:left="5184" w:firstLine="12"/>
      </w:pPr>
      <w:r>
        <w:t xml:space="preserve">                                                                                       </w:t>
      </w:r>
    </w:p>
    <w:p w14:paraId="19CD3FF9" w14:textId="77777777" w:rsidR="0040063F" w:rsidRDefault="0040063F" w:rsidP="0040063F"/>
    <w:p w14:paraId="2B9F60B1" w14:textId="417329F0" w:rsidR="00211A70" w:rsidRDefault="00FE4C59" w:rsidP="0040063F">
      <w:pPr>
        <w:jc w:val="center"/>
        <w:rPr>
          <w:b/>
        </w:rPr>
      </w:pPr>
      <w:r>
        <w:rPr>
          <w:b/>
        </w:rPr>
        <w:t xml:space="preserve">KAUNO R. </w:t>
      </w:r>
      <w:r w:rsidR="007A61DD">
        <w:rPr>
          <w:b/>
        </w:rPr>
        <w:t>KARMĖLAVOS BALIO BURAČO GIMNAZIJOS</w:t>
      </w:r>
    </w:p>
    <w:p w14:paraId="37540402" w14:textId="5AED3363" w:rsidR="0040063F" w:rsidRDefault="0040063F" w:rsidP="00211A70">
      <w:pPr>
        <w:jc w:val="center"/>
        <w:rPr>
          <w:b/>
        </w:rPr>
      </w:pPr>
      <w:r>
        <w:rPr>
          <w:b/>
        </w:rPr>
        <w:t>ŠVIETIMO STEBĖSENOS</w:t>
      </w:r>
      <w:r w:rsidR="00211A70">
        <w:rPr>
          <w:b/>
        </w:rPr>
        <w:t xml:space="preserve"> </w:t>
      </w:r>
      <w:r>
        <w:rPr>
          <w:b/>
        </w:rPr>
        <w:t>RODIKLIŲ SĄRAŠAS</w:t>
      </w:r>
    </w:p>
    <w:p w14:paraId="2D2A9C11" w14:textId="77777777" w:rsidR="0040063F" w:rsidRDefault="0040063F" w:rsidP="0040063F"/>
    <w:p w14:paraId="56B1FBC3" w14:textId="77777777" w:rsidR="0040063F" w:rsidRDefault="0040063F" w:rsidP="0040063F"/>
    <w:p w14:paraId="05143B8A" w14:textId="106E28FC" w:rsidR="0040063F" w:rsidRDefault="00D81DBD" w:rsidP="00FE4C59">
      <w:pPr>
        <w:spacing w:line="360" w:lineRule="auto"/>
        <w:ind w:firstLine="567"/>
        <w:jc w:val="both"/>
      </w:pPr>
      <w:r>
        <w:t xml:space="preserve">1. </w:t>
      </w:r>
      <w:r w:rsidR="007A61DD">
        <w:t xml:space="preserve">Karmėlavos Balio Buračo gimnazijos (toliau – Gimnazija) </w:t>
      </w:r>
      <w:r w:rsidR="00395D27">
        <w:t xml:space="preserve"> </w:t>
      </w:r>
      <w:r w:rsidR="0040063F">
        <w:t>švietimo stebėsenos rodikliai suskirstyti grupėmis pagal tai, kurį švietimo sistemos komponentą apibūdina: švietimo kontekstą, indėlį į švietimą, švietimo procesus, švietimo rezultatus</w:t>
      </w:r>
      <w:r w:rsidR="00EE0B74">
        <w:t xml:space="preserve"> ir </w:t>
      </w:r>
      <w:r w:rsidR="006412D3">
        <w:t xml:space="preserve">švietimo </w:t>
      </w:r>
      <w:r w:rsidR="00EE0B74">
        <w:t>pasekmes</w:t>
      </w:r>
      <w:r>
        <w:t>.</w:t>
      </w:r>
      <w:r w:rsidR="0040063F">
        <w:t xml:space="preserve"> </w:t>
      </w:r>
    </w:p>
    <w:p w14:paraId="743CCC7C" w14:textId="798BC8F1" w:rsidR="0040063F" w:rsidRDefault="00D81DBD" w:rsidP="00FE4C59">
      <w:pPr>
        <w:spacing w:line="360" w:lineRule="auto"/>
        <w:ind w:firstLine="567"/>
        <w:jc w:val="both"/>
      </w:pPr>
      <w:r>
        <w:rPr>
          <w:b/>
        </w:rPr>
        <w:t xml:space="preserve">2. </w:t>
      </w:r>
      <w:r w:rsidR="0040063F">
        <w:rPr>
          <w:b/>
        </w:rPr>
        <w:t>Švietimo konteksto rodikliai</w:t>
      </w:r>
      <w:r w:rsidR="0040063F">
        <w:t xml:space="preserve"> (parodo išorines sąlygas ir reikmes, darančias poveikį švietimo sistemos procesams): </w:t>
      </w:r>
    </w:p>
    <w:p w14:paraId="5B7DA975" w14:textId="1ED15935" w:rsidR="0040063F" w:rsidRPr="009D5459" w:rsidRDefault="00D81DBD" w:rsidP="00FE4C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2.1</w:t>
      </w:r>
      <w:r w:rsidR="0040063F" w:rsidRPr="009D5459">
        <w:rPr>
          <w:b/>
          <w:bCs/>
        </w:rPr>
        <w:t>. Švietimo aplinka:</w:t>
      </w:r>
    </w:p>
    <w:p w14:paraId="26EC2502" w14:textId="0E298599" w:rsidR="00123A7F" w:rsidRDefault="00D81DBD" w:rsidP="00FE4C59">
      <w:pPr>
        <w:tabs>
          <w:tab w:val="left" w:pos="0"/>
          <w:tab w:val="left" w:pos="851"/>
        </w:tabs>
        <w:spacing w:line="360" w:lineRule="auto"/>
        <w:ind w:firstLine="567"/>
        <w:jc w:val="both"/>
      </w:pPr>
      <w:r>
        <w:rPr>
          <w:color w:val="000000" w:themeColor="text1"/>
        </w:rPr>
        <w:t>2.</w:t>
      </w:r>
      <w:r w:rsidR="007D05C2">
        <w:rPr>
          <w:color w:val="000000" w:themeColor="text1"/>
        </w:rPr>
        <w:t>1</w:t>
      </w:r>
      <w:r w:rsidR="00123A7F">
        <w:rPr>
          <w:color w:val="000000" w:themeColor="text1"/>
        </w:rPr>
        <w:t>.</w:t>
      </w:r>
      <w:r w:rsidR="007A61DD">
        <w:rPr>
          <w:color w:val="000000" w:themeColor="text1"/>
        </w:rPr>
        <w:t>1</w:t>
      </w:r>
      <w:r w:rsidR="00123A7F">
        <w:rPr>
          <w:color w:val="000000" w:themeColor="text1"/>
        </w:rPr>
        <w:t>. v</w:t>
      </w:r>
      <w:r w:rsidR="00123A7F" w:rsidRPr="00DD44A9">
        <w:rPr>
          <w:color w:val="000000" w:themeColor="text1"/>
        </w:rPr>
        <w:t xml:space="preserve">ežamų į </w:t>
      </w:r>
      <w:r w:rsidR="007A61DD">
        <w:rPr>
          <w:color w:val="000000" w:themeColor="text1"/>
        </w:rPr>
        <w:t>Gimnaziją</w:t>
      </w:r>
      <w:r w:rsidR="00123A7F" w:rsidRPr="00DD44A9">
        <w:rPr>
          <w:color w:val="000000" w:themeColor="text1"/>
        </w:rPr>
        <w:t xml:space="preserve"> mokinių skaičius ir dalis (%) lyginant su bendru mokinių skaičiumi</w:t>
      </w:r>
      <w:r w:rsidR="00123A7F">
        <w:rPr>
          <w:color w:val="000000" w:themeColor="text1"/>
        </w:rPr>
        <w:t>;</w:t>
      </w:r>
    </w:p>
    <w:p w14:paraId="10A83281" w14:textId="7C77802C" w:rsidR="0040063F" w:rsidRDefault="00D81DBD" w:rsidP="00FE4C59">
      <w:pPr>
        <w:spacing w:line="360" w:lineRule="auto"/>
        <w:ind w:firstLine="567"/>
        <w:jc w:val="both"/>
      </w:pPr>
      <w:r>
        <w:t>2.</w:t>
      </w:r>
      <w:r w:rsidR="007D05C2">
        <w:t>1</w:t>
      </w:r>
      <w:r>
        <w:t>.</w:t>
      </w:r>
      <w:r w:rsidR="007A61DD">
        <w:t>2</w:t>
      </w:r>
      <w:r w:rsidR="0040063F">
        <w:t>.</w:t>
      </w:r>
      <w:r w:rsidR="00DA4301">
        <w:t xml:space="preserve"> </w:t>
      </w:r>
      <w:r w:rsidR="00DA4301">
        <w:rPr>
          <w:color w:val="000000" w:themeColor="text1"/>
        </w:rPr>
        <w:t>n</w:t>
      </w:r>
      <w:r w:rsidR="00DA4301" w:rsidRPr="008241D5">
        <w:rPr>
          <w:color w:val="000000" w:themeColor="text1"/>
        </w:rPr>
        <w:t xml:space="preserve">emokamai maitinamų </w:t>
      </w:r>
      <w:r w:rsidR="00123A7F">
        <w:rPr>
          <w:color w:val="000000" w:themeColor="text1"/>
        </w:rPr>
        <w:t>2–12 klasių</w:t>
      </w:r>
      <w:r w:rsidR="00DA4301" w:rsidRPr="008241D5">
        <w:rPr>
          <w:color w:val="000000" w:themeColor="text1"/>
        </w:rPr>
        <w:t xml:space="preserve"> mokinių skaičius ir dalis (%)</w:t>
      </w:r>
      <w:r w:rsidR="00DA4301">
        <w:rPr>
          <w:color w:val="000000" w:themeColor="text1"/>
        </w:rPr>
        <w:t xml:space="preserve"> lyginant su bendru </w:t>
      </w:r>
    </w:p>
    <w:p w14:paraId="1FA6327E" w14:textId="25D131C8" w:rsidR="0040063F" w:rsidRDefault="00D81DBD" w:rsidP="00FE4C59">
      <w:pPr>
        <w:spacing w:line="360" w:lineRule="auto"/>
        <w:ind w:firstLine="567"/>
        <w:jc w:val="both"/>
      </w:pPr>
      <w:r>
        <w:t>2</w:t>
      </w:r>
      <w:r w:rsidR="007D05C2">
        <w:t>.1</w:t>
      </w:r>
      <w:r>
        <w:t>.</w:t>
      </w:r>
      <w:r w:rsidR="007A61DD">
        <w:t>3</w:t>
      </w:r>
      <w:r w:rsidR="0040063F">
        <w:t xml:space="preserve">. </w:t>
      </w:r>
      <w:r w:rsidR="00DA4301">
        <w:rPr>
          <w:color w:val="000000" w:themeColor="text1"/>
        </w:rPr>
        <w:t>m</w:t>
      </w:r>
      <w:r w:rsidR="00DA4301" w:rsidRPr="00097450">
        <w:rPr>
          <w:color w:val="000000" w:themeColor="text1"/>
        </w:rPr>
        <w:t xml:space="preserve">okinių, grįžusių mokytis į </w:t>
      </w:r>
      <w:r w:rsidR="007A61DD">
        <w:rPr>
          <w:color w:val="000000" w:themeColor="text1"/>
        </w:rPr>
        <w:t>Gimnaziją</w:t>
      </w:r>
      <w:r w:rsidR="00DA4301" w:rsidRPr="00097450">
        <w:rPr>
          <w:color w:val="000000" w:themeColor="text1"/>
        </w:rPr>
        <w:t xml:space="preserve"> iš užsi</w:t>
      </w:r>
      <w:r w:rsidR="00DA4301">
        <w:rPr>
          <w:color w:val="000000" w:themeColor="text1"/>
        </w:rPr>
        <w:t>enio, skaičius ir dalis (%) lyginant su bendru mokinių skaičiumi.</w:t>
      </w:r>
    </w:p>
    <w:p w14:paraId="45EBC505" w14:textId="7CDDD12F" w:rsidR="0040063F" w:rsidRDefault="007D05C2" w:rsidP="00FE4C59">
      <w:pPr>
        <w:spacing w:line="360" w:lineRule="auto"/>
        <w:ind w:firstLine="567"/>
        <w:jc w:val="both"/>
      </w:pPr>
      <w:r>
        <w:rPr>
          <w:b/>
        </w:rPr>
        <w:t>3</w:t>
      </w:r>
      <w:r w:rsidR="0040063F">
        <w:rPr>
          <w:b/>
        </w:rPr>
        <w:t>. Indėlio į švietimą rodikliai</w:t>
      </w:r>
      <w:r w:rsidR="0040063F">
        <w:t xml:space="preserve"> (parodo pastangas ir (arba) išteklius, reikalingus švietimo sistemai veikti ir tikslams pasiekti): </w:t>
      </w:r>
    </w:p>
    <w:p w14:paraId="00F221F8" w14:textId="28AB1FC7" w:rsidR="0040063F" w:rsidRPr="009D5459" w:rsidRDefault="007D05C2" w:rsidP="00FE4C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3</w:t>
      </w:r>
      <w:r w:rsidR="0040063F" w:rsidRPr="009D5459">
        <w:rPr>
          <w:b/>
          <w:bCs/>
        </w:rPr>
        <w:t xml:space="preserve">.1. </w:t>
      </w:r>
      <w:r w:rsidR="00B57892" w:rsidRPr="009D5459">
        <w:rPr>
          <w:b/>
          <w:bCs/>
        </w:rPr>
        <w:t>Besimokančiųjų charakteristik</w:t>
      </w:r>
      <w:r w:rsidR="00541EBC" w:rsidRPr="009D5459">
        <w:rPr>
          <w:b/>
          <w:bCs/>
        </w:rPr>
        <w:t>a</w:t>
      </w:r>
      <w:r w:rsidR="0040063F" w:rsidRPr="009D5459">
        <w:rPr>
          <w:b/>
          <w:bCs/>
        </w:rPr>
        <w:t>:</w:t>
      </w:r>
    </w:p>
    <w:p w14:paraId="00E61778" w14:textId="4311B164" w:rsidR="0040063F" w:rsidRDefault="007D05C2" w:rsidP="00FE4C59">
      <w:pPr>
        <w:spacing w:line="360" w:lineRule="auto"/>
        <w:ind w:firstLine="567"/>
        <w:jc w:val="both"/>
      </w:pPr>
      <w:r>
        <w:t>3</w:t>
      </w:r>
      <w:r w:rsidR="0040063F">
        <w:t>.1.</w:t>
      </w:r>
      <w:r w:rsidR="00756957">
        <w:t>1</w:t>
      </w:r>
      <w:r w:rsidR="0040063F">
        <w:t>.</w:t>
      </w:r>
      <w:r w:rsidR="003656A8">
        <w:t xml:space="preserve"> </w:t>
      </w:r>
      <w:r w:rsidR="007A61DD">
        <w:rPr>
          <w:color w:val="000000" w:themeColor="text1"/>
        </w:rPr>
        <w:t>Gimnazijoje</w:t>
      </w:r>
      <w:r w:rsidR="003656A8" w:rsidRPr="00097450">
        <w:rPr>
          <w:color w:val="000000" w:themeColor="text1"/>
        </w:rPr>
        <w:t xml:space="preserve"> </w:t>
      </w:r>
      <w:r w:rsidR="007A61DD">
        <w:rPr>
          <w:color w:val="000000" w:themeColor="text1"/>
        </w:rPr>
        <w:t>ugdomų 1-8, I-IV</w:t>
      </w:r>
      <w:r w:rsidR="003656A8" w:rsidRPr="00097450">
        <w:rPr>
          <w:color w:val="000000" w:themeColor="text1"/>
        </w:rPr>
        <w:t xml:space="preserve"> klasių mokinių</w:t>
      </w:r>
      <w:r w:rsidR="003656A8">
        <w:rPr>
          <w:color w:val="000000" w:themeColor="text1"/>
        </w:rPr>
        <w:t xml:space="preserve"> ir</w:t>
      </w:r>
      <w:r w:rsidR="003656A8" w:rsidRPr="00097450">
        <w:rPr>
          <w:color w:val="000000" w:themeColor="text1"/>
        </w:rPr>
        <w:t xml:space="preserve"> priešmokyklinio amžiaus vaikų skaičius. Pirmokų skaiči</w:t>
      </w:r>
      <w:r w:rsidR="003656A8">
        <w:rPr>
          <w:color w:val="000000" w:themeColor="text1"/>
        </w:rPr>
        <w:t>us</w:t>
      </w:r>
      <w:r w:rsidR="003656A8" w:rsidRPr="00097450">
        <w:rPr>
          <w:color w:val="000000" w:themeColor="text1"/>
          <w:sz w:val="22"/>
          <w:szCs w:val="22"/>
        </w:rPr>
        <w:t xml:space="preserve"> </w:t>
      </w:r>
      <w:r w:rsidR="003656A8" w:rsidRPr="00414481">
        <w:rPr>
          <w:color w:val="000000" w:themeColor="text1"/>
        </w:rPr>
        <w:t xml:space="preserve">ir dalis (%) lyginant su bendru </w:t>
      </w:r>
      <w:r w:rsidR="003656A8">
        <w:rPr>
          <w:color w:val="000000" w:themeColor="text1"/>
        </w:rPr>
        <w:t>mokinių</w:t>
      </w:r>
      <w:r w:rsidR="003656A8" w:rsidRPr="00414481">
        <w:rPr>
          <w:color w:val="000000" w:themeColor="text1"/>
        </w:rPr>
        <w:t xml:space="preserve"> skaičiumi</w:t>
      </w:r>
      <w:r w:rsidR="0040063F">
        <w:t>;</w:t>
      </w:r>
    </w:p>
    <w:p w14:paraId="161F04D4" w14:textId="2273E6A8" w:rsidR="0040063F" w:rsidRDefault="00DA5006" w:rsidP="00FE4C59">
      <w:pPr>
        <w:spacing w:line="360" w:lineRule="auto"/>
        <w:ind w:firstLine="567"/>
        <w:jc w:val="both"/>
      </w:pPr>
      <w:r>
        <w:t xml:space="preserve">3.1.2. vaikų, </w:t>
      </w:r>
      <w:r w:rsidR="000A5DDC">
        <w:t>G</w:t>
      </w:r>
      <w:r>
        <w:t xml:space="preserve">imnazijoje ugdomų pagal priešmokyklinio ugdymo programą, skaičius. </w:t>
      </w:r>
      <w:r>
        <w:rPr>
          <w:color w:val="000000" w:themeColor="text1"/>
        </w:rPr>
        <w:t>M</w:t>
      </w:r>
      <w:r w:rsidR="003656A8" w:rsidRPr="00671571">
        <w:rPr>
          <w:color w:val="000000" w:themeColor="text1"/>
        </w:rPr>
        <w:t xml:space="preserve">okinių, besimokančių </w:t>
      </w:r>
      <w:r w:rsidR="000A5DDC">
        <w:rPr>
          <w:color w:val="000000" w:themeColor="text1"/>
        </w:rPr>
        <w:t>G</w:t>
      </w:r>
      <w:r>
        <w:rPr>
          <w:color w:val="000000" w:themeColor="text1"/>
        </w:rPr>
        <w:t xml:space="preserve">imnazijoje </w:t>
      </w:r>
      <w:r w:rsidR="003656A8">
        <w:rPr>
          <w:color w:val="000000" w:themeColor="text1"/>
        </w:rPr>
        <w:t xml:space="preserve">pagal pradinio, pagrindinio ir </w:t>
      </w:r>
      <w:r w:rsidR="003656A8" w:rsidRPr="00671571">
        <w:rPr>
          <w:color w:val="000000" w:themeColor="text1"/>
        </w:rPr>
        <w:t>vidurinio ugdymo programas, skaičius</w:t>
      </w:r>
      <w:r w:rsidR="0040063F">
        <w:t>;</w:t>
      </w:r>
    </w:p>
    <w:p w14:paraId="33CE646F" w14:textId="06274D66" w:rsidR="00541EBC" w:rsidRDefault="007D05C2" w:rsidP="00FE4C59">
      <w:pPr>
        <w:spacing w:line="360" w:lineRule="auto"/>
        <w:ind w:firstLine="567"/>
        <w:jc w:val="both"/>
      </w:pPr>
      <w:r>
        <w:t>3</w:t>
      </w:r>
      <w:r w:rsidR="00541EBC">
        <w:t>.1.</w:t>
      </w:r>
      <w:r w:rsidR="00DA5006">
        <w:t>3</w:t>
      </w:r>
      <w:r w:rsidR="00541EBC">
        <w:t xml:space="preserve">. </w:t>
      </w:r>
      <w:r w:rsidR="00541EBC">
        <w:rPr>
          <w:color w:val="000000" w:themeColor="text1"/>
        </w:rPr>
        <w:t>m</w:t>
      </w:r>
      <w:r w:rsidR="00541EBC" w:rsidRPr="00FD39AC">
        <w:rPr>
          <w:color w:val="000000" w:themeColor="text1"/>
        </w:rPr>
        <w:t xml:space="preserve">okinių, kuriems skirtos vaiko minimalios/vidutinės priežiūros priemonės, skaičius </w:t>
      </w:r>
      <w:r w:rsidR="00DA5006">
        <w:rPr>
          <w:color w:val="000000" w:themeColor="text1"/>
        </w:rPr>
        <w:t>Gimnazijos</w:t>
      </w:r>
      <w:r w:rsidR="00541EBC" w:rsidRPr="00FD39AC">
        <w:rPr>
          <w:color w:val="000000" w:themeColor="text1"/>
        </w:rPr>
        <w:t xml:space="preserve"> lygmeniu</w:t>
      </w:r>
      <w:r w:rsidR="00541EBC">
        <w:rPr>
          <w:color w:val="000000" w:themeColor="text1"/>
        </w:rPr>
        <w:t>.</w:t>
      </w:r>
    </w:p>
    <w:p w14:paraId="0FEFD017" w14:textId="588DF1DE" w:rsidR="0040063F" w:rsidRPr="009D5459" w:rsidRDefault="007D05C2" w:rsidP="00FE4C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3</w:t>
      </w:r>
      <w:r w:rsidR="0040063F" w:rsidRPr="009D5459">
        <w:rPr>
          <w:b/>
          <w:bCs/>
        </w:rPr>
        <w:t>.</w:t>
      </w:r>
      <w:r w:rsidR="00541EBC" w:rsidRPr="009D5459">
        <w:rPr>
          <w:b/>
          <w:bCs/>
        </w:rPr>
        <w:t>2</w:t>
      </w:r>
      <w:r w:rsidR="0040063F" w:rsidRPr="009D5459">
        <w:rPr>
          <w:b/>
          <w:bCs/>
        </w:rPr>
        <w:t>. Personalo charakteristika:</w:t>
      </w:r>
    </w:p>
    <w:p w14:paraId="18DD95F6" w14:textId="06566800" w:rsidR="0040063F" w:rsidRDefault="007D05C2" w:rsidP="00FE4C59">
      <w:pPr>
        <w:spacing w:line="360" w:lineRule="auto"/>
        <w:ind w:firstLine="567"/>
        <w:jc w:val="both"/>
      </w:pPr>
      <w:r>
        <w:t>3</w:t>
      </w:r>
      <w:r w:rsidR="0040063F">
        <w:t>.2.</w:t>
      </w:r>
      <w:r w:rsidR="008A5759">
        <w:t>1</w:t>
      </w:r>
      <w:r w:rsidR="0040063F">
        <w:t>.</w:t>
      </w:r>
      <w:r w:rsidR="008C0CBE">
        <w:t xml:space="preserve"> </w:t>
      </w:r>
      <w:r w:rsidR="00DA5006">
        <w:rPr>
          <w:bCs/>
          <w:color w:val="000000" w:themeColor="text1"/>
        </w:rPr>
        <w:t>mokytojų, priešmokyklinio ugdymo pedagogų ir kitų pedagoginių darbuotojų skaičius;</w:t>
      </w:r>
    </w:p>
    <w:p w14:paraId="07CECC39" w14:textId="7D978F8D" w:rsidR="0040063F" w:rsidRDefault="007D05C2" w:rsidP="00FE4C59">
      <w:pPr>
        <w:spacing w:line="360" w:lineRule="auto"/>
        <w:ind w:firstLine="567"/>
        <w:jc w:val="both"/>
      </w:pPr>
      <w:r>
        <w:t>3</w:t>
      </w:r>
      <w:r w:rsidR="0040063F">
        <w:t>.2.</w:t>
      </w:r>
      <w:r w:rsidR="008A5759">
        <w:t>2</w:t>
      </w:r>
      <w:r w:rsidR="0040063F">
        <w:t>.</w:t>
      </w:r>
      <w:r w:rsidR="008C0CBE">
        <w:t xml:space="preserve"> </w:t>
      </w:r>
      <w:r w:rsidR="008C0CBE">
        <w:rPr>
          <w:bCs/>
          <w:color w:val="000000" w:themeColor="text1"/>
        </w:rPr>
        <w:t>p</w:t>
      </w:r>
      <w:r w:rsidR="008C0CBE" w:rsidRPr="00662E01">
        <w:rPr>
          <w:bCs/>
          <w:color w:val="000000" w:themeColor="text1"/>
        </w:rPr>
        <w:t xml:space="preserve">edagoginių darbuotojų pasiskirstymas pagal amžių: iki </w:t>
      </w:r>
      <w:smartTag w:uri="urn:schemas-microsoft-com:office:smarttags" w:element="metricconverter">
        <w:smartTagPr>
          <w:attr w:name="ProductID" w:val="40 m"/>
        </w:smartTagPr>
        <w:r w:rsidR="008C0CBE" w:rsidRPr="00662E01">
          <w:rPr>
            <w:bCs/>
            <w:color w:val="000000" w:themeColor="text1"/>
          </w:rPr>
          <w:t>40 m</w:t>
        </w:r>
      </w:smartTag>
      <w:r w:rsidR="008C0CBE" w:rsidRPr="00662E01">
        <w:rPr>
          <w:bCs/>
          <w:color w:val="000000" w:themeColor="text1"/>
        </w:rPr>
        <w:t>.</w:t>
      </w:r>
      <w:r w:rsidR="008C0CBE">
        <w:rPr>
          <w:bCs/>
          <w:color w:val="000000" w:themeColor="text1"/>
        </w:rPr>
        <w:t>,</w:t>
      </w:r>
      <w:r w:rsidR="008C0CBE" w:rsidRPr="00662E01">
        <w:rPr>
          <w:bCs/>
          <w:color w:val="000000" w:themeColor="text1"/>
        </w:rPr>
        <w:t xml:space="preserve"> iki </w:t>
      </w:r>
      <w:smartTag w:uri="urn:schemas-microsoft-com:office:smarttags" w:element="metricconverter">
        <w:smartTagPr>
          <w:attr w:name="ProductID" w:val="60 m"/>
        </w:smartTagPr>
        <w:r w:rsidR="008C0CBE" w:rsidRPr="00662E01">
          <w:rPr>
            <w:bCs/>
            <w:color w:val="000000" w:themeColor="text1"/>
          </w:rPr>
          <w:t>60 m</w:t>
        </w:r>
      </w:smartTag>
      <w:r w:rsidR="008C0CBE" w:rsidRPr="00662E01">
        <w:rPr>
          <w:bCs/>
          <w:color w:val="000000" w:themeColor="text1"/>
        </w:rPr>
        <w:t xml:space="preserve">., pensinis amžius. </w:t>
      </w:r>
      <w:r w:rsidR="008C0CBE" w:rsidRPr="00662E01">
        <w:rPr>
          <w:color w:val="000000" w:themeColor="text1"/>
        </w:rPr>
        <w:t xml:space="preserve">Vidutinis pedagoginių darbuotojų amžius </w:t>
      </w:r>
      <w:r w:rsidR="00DA5006">
        <w:rPr>
          <w:color w:val="000000" w:themeColor="text1"/>
        </w:rPr>
        <w:t>Gimnazijoje;</w:t>
      </w:r>
    </w:p>
    <w:p w14:paraId="5DEC8FCF" w14:textId="77777777" w:rsidR="00FE4C59" w:rsidRDefault="007D05C2" w:rsidP="00FE4C59">
      <w:pPr>
        <w:spacing w:line="360" w:lineRule="auto"/>
        <w:ind w:firstLine="567"/>
        <w:jc w:val="both"/>
      </w:pPr>
      <w:r>
        <w:t>3</w:t>
      </w:r>
      <w:r w:rsidR="0040063F">
        <w:t>.2.</w:t>
      </w:r>
      <w:r w:rsidR="008A5759">
        <w:t>3</w:t>
      </w:r>
      <w:r w:rsidR="0040063F">
        <w:t>.</w:t>
      </w:r>
      <w:r w:rsidR="008C0CBE">
        <w:t xml:space="preserve"> </w:t>
      </w:r>
      <w:r w:rsidR="00DA5006">
        <w:rPr>
          <w:color w:val="000000" w:themeColor="text1"/>
        </w:rPr>
        <w:t>Gimnazijoje</w:t>
      </w:r>
      <w:r w:rsidR="008C0CBE">
        <w:rPr>
          <w:color w:val="000000" w:themeColor="text1"/>
        </w:rPr>
        <w:t xml:space="preserve"> dirbančių ir a</w:t>
      </w:r>
      <w:r w:rsidR="008C0CBE" w:rsidRPr="00692D4E">
        <w:rPr>
          <w:color w:val="000000" w:themeColor="text1"/>
        </w:rPr>
        <w:t>testuotų pedagoginių darbuotojų</w:t>
      </w:r>
      <w:r w:rsidR="008C0CBE">
        <w:rPr>
          <w:color w:val="000000" w:themeColor="text1"/>
        </w:rPr>
        <w:t xml:space="preserve"> skaičius</w:t>
      </w:r>
      <w:r w:rsidR="008C0CBE" w:rsidRPr="00692D4E">
        <w:rPr>
          <w:color w:val="000000" w:themeColor="text1"/>
        </w:rPr>
        <w:t xml:space="preserve"> pagal kvalifikacines kategorijas: mokytojas, vyr. mokytojas, metodininkas, ekspertas</w:t>
      </w:r>
      <w:r w:rsidR="0040063F">
        <w:t>;</w:t>
      </w:r>
    </w:p>
    <w:p w14:paraId="196440FC" w14:textId="54E485C4" w:rsidR="0040063F" w:rsidRDefault="007D05C2" w:rsidP="00FE4C59">
      <w:pPr>
        <w:spacing w:line="360" w:lineRule="auto"/>
        <w:ind w:firstLine="567"/>
        <w:jc w:val="both"/>
      </w:pPr>
      <w:r>
        <w:lastRenderedPageBreak/>
        <w:t>3</w:t>
      </w:r>
      <w:r w:rsidR="0040063F">
        <w:t>.2.</w:t>
      </w:r>
      <w:r w:rsidR="008A5759">
        <w:t>4</w:t>
      </w:r>
      <w:r w:rsidR="0040063F">
        <w:t>.</w:t>
      </w:r>
      <w:r w:rsidR="008C0CBE">
        <w:t xml:space="preserve"> </w:t>
      </w:r>
      <w:r w:rsidR="008C0CBE">
        <w:rPr>
          <w:bCs/>
          <w:color w:val="000000" w:themeColor="text1"/>
        </w:rPr>
        <w:t>š</w:t>
      </w:r>
      <w:r w:rsidR="008C0CBE" w:rsidRPr="00C4188B">
        <w:rPr>
          <w:bCs/>
          <w:color w:val="000000" w:themeColor="text1"/>
        </w:rPr>
        <w:t>vietimo pagalbos spe</w:t>
      </w:r>
      <w:r w:rsidR="008C0CBE">
        <w:rPr>
          <w:bCs/>
          <w:color w:val="000000" w:themeColor="text1"/>
        </w:rPr>
        <w:t>cialistų (socialinis pedagogas, psichologas, s</w:t>
      </w:r>
      <w:r w:rsidR="00DA5006">
        <w:rPr>
          <w:bCs/>
          <w:color w:val="000000" w:themeColor="text1"/>
        </w:rPr>
        <w:t>pecialusis pedagogas, logopedas</w:t>
      </w:r>
      <w:r w:rsidR="008C0CBE" w:rsidRPr="00C4188B">
        <w:rPr>
          <w:bCs/>
          <w:color w:val="000000" w:themeColor="text1"/>
        </w:rPr>
        <w:t>)</w:t>
      </w:r>
      <w:r w:rsidR="009F6615">
        <w:rPr>
          <w:bCs/>
          <w:color w:val="000000" w:themeColor="text1"/>
        </w:rPr>
        <w:t>, mokytojo padėjėjų</w:t>
      </w:r>
      <w:r w:rsidR="008C0CBE" w:rsidRPr="00C4188B">
        <w:rPr>
          <w:bCs/>
          <w:color w:val="000000" w:themeColor="text1"/>
        </w:rPr>
        <w:t xml:space="preserve"> ir jų etatų skaičius</w:t>
      </w:r>
      <w:r w:rsidR="008C0CBE">
        <w:rPr>
          <w:bCs/>
          <w:color w:val="000000" w:themeColor="text1"/>
        </w:rPr>
        <w:t xml:space="preserve"> </w:t>
      </w:r>
      <w:r w:rsidR="00DA5006">
        <w:rPr>
          <w:color w:val="000000" w:themeColor="text1"/>
        </w:rPr>
        <w:t>Gimnazijoje.</w:t>
      </w:r>
    </w:p>
    <w:p w14:paraId="361DBC32" w14:textId="07563558" w:rsidR="0040063F" w:rsidRPr="00611DA8" w:rsidRDefault="007D05C2" w:rsidP="00FE4C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3.3</w:t>
      </w:r>
      <w:r w:rsidR="0040063F" w:rsidRPr="00611DA8">
        <w:rPr>
          <w:b/>
          <w:bCs/>
        </w:rPr>
        <w:t>. Materialieji ir finansiniai ištekliai:</w:t>
      </w:r>
    </w:p>
    <w:p w14:paraId="38EAD61B" w14:textId="059DE91A" w:rsidR="0040063F" w:rsidRDefault="007D05C2" w:rsidP="00FE4C59">
      <w:pPr>
        <w:spacing w:line="360" w:lineRule="auto"/>
        <w:ind w:firstLine="567"/>
        <w:jc w:val="both"/>
      </w:pPr>
      <w:r>
        <w:t>3</w:t>
      </w:r>
      <w:r w:rsidR="0040063F">
        <w:t>.</w:t>
      </w:r>
      <w:r w:rsidR="00BD2616">
        <w:t>3.</w:t>
      </w:r>
      <w:r w:rsidR="00DA5006">
        <w:t>1</w:t>
      </w:r>
      <w:r w:rsidR="0040063F">
        <w:t>.</w:t>
      </w:r>
      <w:r w:rsidR="00A71133">
        <w:t xml:space="preserve"> </w:t>
      </w:r>
      <w:bookmarkStart w:id="0" w:name="_Hlk23859506"/>
      <w:r w:rsidR="009F3ED8">
        <w:rPr>
          <w:color w:val="000000" w:themeColor="text1"/>
        </w:rPr>
        <w:t>s</w:t>
      </w:r>
      <w:r w:rsidR="009F3ED8" w:rsidRPr="00190DB0">
        <w:rPr>
          <w:color w:val="000000" w:themeColor="text1"/>
        </w:rPr>
        <w:t>avivaldybės ir/ar valstybės biudžeto lėšomis finansuotos ir įgyvendintos vasaros poilsio, socializacijos ir prevencijos programos (pro</w:t>
      </w:r>
      <w:r w:rsidR="009F3ED8">
        <w:rPr>
          <w:color w:val="000000" w:themeColor="text1"/>
        </w:rPr>
        <w:t>gramų</w:t>
      </w:r>
      <w:r w:rsidR="009F3ED8" w:rsidRPr="00190DB0">
        <w:rPr>
          <w:color w:val="000000" w:themeColor="text1"/>
        </w:rPr>
        <w:t xml:space="preserve"> skaičius, skirtos lėšos)</w:t>
      </w:r>
      <w:bookmarkEnd w:id="0"/>
      <w:r w:rsidR="009F3ED8">
        <w:rPr>
          <w:color w:val="000000" w:themeColor="text1"/>
        </w:rPr>
        <w:t>;</w:t>
      </w:r>
    </w:p>
    <w:p w14:paraId="2424927E" w14:textId="1B6A7B86" w:rsidR="0040063F" w:rsidRDefault="007D05C2" w:rsidP="00FE4C59">
      <w:pPr>
        <w:spacing w:line="360" w:lineRule="auto"/>
        <w:ind w:firstLine="567"/>
        <w:jc w:val="both"/>
      </w:pPr>
      <w:r>
        <w:t>3</w:t>
      </w:r>
      <w:r w:rsidR="0040063F">
        <w:t>.</w:t>
      </w:r>
      <w:r w:rsidR="00BD2616">
        <w:t>3.</w:t>
      </w:r>
      <w:r w:rsidR="00DA5006">
        <w:t>2</w:t>
      </w:r>
      <w:r w:rsidR="0040063F">
        <w:t>.</w:t>
      </w:r>
      <w:r w:rsidR="00A71133">
        <w:t xml:space="preserve"> </w:t>
      </w:r>
      <w:bookmarkStart w:id="1" w:name="_Hlk23859600"/>
      <w:r w:rsidR="00DA5006">
        <w:rPr>
          <w:color w:val="000000" w:themeColor="text1"/>
        </w:rPr>
        <w:t xml:space="preserve">ES projektinėmis lėšomis </w:t>
      </w:r>
      <w:bookmarkEnd w:id="1"/>
      <w:r w:rsidR="00B12A10">
        <w:rPr>
          <w:color w:val="000000" w:themeColor="text1"/>
        </w:rPr>
        <w:t>finansuoti ir įgyvendinti tarptautiniai projektai (projektų skaičius, gautos lėšos);</w:t>
      </w:r>
    </w:p>
    <w:p w14:paraId="5173EAD4" w14:textId="4CFA4DDF" w:rsidR="0040063F" w:rsidRDefault="007D05C2" w:rsidP="00FE4C59">
      <w:pPr>
        <w:spacing w:line="360" w:lineRule="auto"/>
        <w:ind w:firstLine="567"/>
        <w:jc w:val="both"/>
        <w:rPr>
          <w:color w:val="000000" w:themeColor="text1"/>
        </w:rPr>
      </w:pPr>
      <w:r>
        <w:t>3</w:t>
      </w:r>
      <w:r w:rsidR="0040063F">
        <w:t>.</w:t>
      </w:r>
      <w:r w:rsidR="00BD2616">
        <w:t>3.</w:t>
      </w:r>
      <w:r w:rsidR="00B12A10">
        <w:t>3</w:t>
      </w:r>
      <w:r w:rsidR="0040063F">
        <w:t>.</w:t>
      </w:r>
      <w:r w:rsidR="00D23131">
        <w:t xml:space="preserve"> </w:t>
      </w:r>
      <w:r w:rsidR="00B12A10">
        <w:t>Gimnazijai skirtų valstybės ugdymo lėšų ir savivaldybės gimnazijai skirta aplinkos lėšų suma.</w:t>
      </w:r>
    </w:p>
    <w:p w14:paraId="3648927E" w14:textId="1442D285" w:rsidR="0040063F" w:rsidRDefault="007D05C2" w:rsidP="00FE4C59">
      <w:pPr>
        <w:spacing w:line="360" w:lineRule="auto"/>
        <w:ind w:firstLine="567"/>
        <w:jc w:val="both"/>
      </w:pPr>
      <w:r>
        <w:rPr>
          <w:b/>
        </w:rPr>
        <w:t>4</w:t>
      </w:r>
      <w:r w:rsidR="0040063F">
        <w:rPr>
          <w:b/>
        </w:rPr>
        <w:t>. Švietimo procesų rodikliai</w:t>
      </w:r>
      <w:r w:rsidR="0040063F">
        <w:t xml:space="preserve"> (parodo priežastiniais ryšiais susijusių švietimo sistemos pokyčių eigą):</w:t>
      </w:r>
    </w:p>
    <w:p w14:paraId="1928B8BA" w14:textId="0D48C376" w:rsidR="0040063F" w:rsidRDefault="007D05C2" w:rsidP="00FE4C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40063F" w:rsidRPr="0072765E">
        <w:rPr>
          <w:b/>
          <w:bCs/>
        </w:rPr>
        <w:t>.1. Mokymas</w:t>
      </w:r>
      <w:r w:rsidR="00E71975">
        <w:rPr>
          <w:b/>
          <w:bCs/>
        </w:rPr>
        <w:t>(-</w:t>
      </w:r>
      <w:r w:rsidR="0040063F" w:rsidRPr="0072765E">
        <w:rPr>
          <w:b/>
          <w:bCs/>
        </w:rPr>
        <w:t>is</w:t>
      </w:r>
      <w:r w:rsidR="00E71975">
        <w:rPr>
          <w:b/>
          <w:bCs/>
        </w:rPr>
        <w:t>)</w:t>
      </w:r>
      <w:r w:rsidR="0040063F" w:rsidRPr="0072765E">
        <w:rPr>
          <w:b/>
          <w:bCs/>
        </w:rPr>
        <w:t xml:space="preserve">: </w:t>
      </w:r>
    </w:p>
    <w:p w14:paraId="3B7F312D" w14:textId="368E39EC" w:rsidR="00386D9F" w:rsidRPr="00386D9F" w:rsidRDefault="00386D9F" w:rsidP="00FE4C59">
      <w:pPr>
        <w:spacing w:line="360" w:lineRule="auto"/>
        <w:ind w:firstLine="567"/>
        <w:jc w:val="both"/>
        <w:rPr>
          <w:bCs/>
        </w:rPr>
      </w:pPr>
      <w:r w:rsidRPr="00386D9F">
        <w:rPr>
          <w:bCs/>
        </w:rPr>
        <w:t>4.1.1.</w:t>
      </w:r>
      <w:r>
        <w:rPr>
          <w:bCs/>
        </w:rPr>
        <w:t xml:space="preserve"> mokinių pažangumas;</w:t>
      </w:r>
    </w:p>
    <w:p w14:paraId="4A437FF3" w14:textId="79D34010" w:rsidR="0040063F" w:rsidRDefault="007D05C2" w:rsidP="00FE4C59">
      <w:pPr>
        <w:spacing w:line="360" w:lineRule="auto"/>
        <w:ind w:firstLine="567"/>
        <w:jc w:val="both"/>
      </w:pPr>
      <w:r>
        <w:t>4</w:t>
      </w:r>
      <w:r w:rsidR="00386D9F">
        <w:t>.1.2</w:t>
      </w:r>
      <w:r w:rsidR="0040063F">
        <w:t>.</w:t>
      </w:r>
      <w:r w:rsidR="00855898">
        <w:t xml:space="preserve"> </w:t>
      </w:r>
      <w:bookmarkStart w:id="2" w:name="_Hlk23861718"/>
      <w:r w:rsidR="000A5DDC">
        <w:rPr>
          <w:color w:val="000000" w:themeColor="text1"/>
        </w:rPr>
        <w:t>savivaldybės</w:t>
      </w:r>
      <w:r w:rsidR="000A5DDC" w:rsidRPr="00DD44A9">
        <w:rPr>
          <w:color w:val="000000" w:themeColor="text1"/>
        </w:rPr>
        <w:t xml:space="preserve"> </w:t>
      </w:r>
      <w:r w:rsidR="00E71975">
        <w:rPr>
          <w:color w:val="000000" w:themeColor="text1"/>
        </w:rPr>
        <w:t>o</w:t>
      </w:r>
      <w:r w:rsidR="00E71975" w:rsidRPr="00DD44A9">
        <w:rPr>
          <w:color w:val="000000" w:themeColor="text1"/>
        </w:rPr>
        <w:t>rganizuotų olimpiadų</w:t>
      </w:r>
      <w:r w:rsidR="00E71975">
        <w:rPr>
          <w:color w:val="000000" w:themeColor="text1"/>
        </w:rPr>
        <w:t xml:space="preserve"> ir konkursų </w:t>
      </w:r>
      <w:r w:rsidR="00E71975" w:rsidRPr="00DD44A9">
        <w:rPr>
          <w:color w:val="000000" w:themeColor="text1"/>
        </w:rPr>
        <w:t>skaičius</w:t>
      </w:r>
      <w:r w:rsidR="00E71975">
        <w:rPr>
          <w:color w:val="000000" w:themeColor="text1"/>
        </w:rPr>
        <w:t xml:space="preserve">, </w:t>
      </w:r>
      <w:r w:rsidR="00E71975" w:rsidRPr="00DD44A9">
        <w:rPr>
          <w:color w:val="000000" w:themeColor="text1"/>
        </w:rPr>
        <w:t>dalyvavusių mokinių skaičius ir dalis (%)</w:t>
      </w:r>
      <w:r w:rsidR="00E71975">
        <w:rPr>
          <w:color w:val="000000" w:themeColor="text1"/>
        </w:rPr>
        <w:t xml:space="preserve"> </w:t>
      </w:r>
      <w:r w:rsidR="00E71975" w:rsidRPr="00DD44A9">
        <w:rPr>
          <w:color w:val="000000" w:themeColor="text1"/>
        </w:rPr>
        <w:t>lyginant su bendru mokinių skaičiumi</w:t>
      </w:r>
      <w:bookmarkEnd w:id="2"/>
      <w:r w:rsidR="00E71975">
        <w:rPr>
          <w:color w:val="000000" w:themeColor="text1"/>
        </w:rPr>
        <w:t>;</w:t>
      </w:r>
    </w:p>
    <w:p w14:paraId="1A9078F4" w14:textId="3E208101" w:rsidR="0040063F" w:rsidRDefault="007D05C2" w:rsidP="00FE4C59">
      <w:pPr>
        <w:spacing w:line="360" w:lineRule="auto"/>
        <w:ind w:firstLine="567"/>
        <w:jc w:val="both"/>
      </w:pPr>
      <w:r>
        <w:t>4</w:t>
      </w:r>
      <w:r w:rsidR="00386D9F">
        <w:t>.1.3</w:t>
      </w:r>
      <w:r w:rsidR="0040063F">
        <w:t>.</w:t>
      </w:r>
      <w:r w:rsidR="00855898">
        <w:t xml:space="preserve"> </w:t>
      </w:r>
      <w:r w:rsidR="00B12A10">
        <w:rPr>
          <w:color w:val="000000" w:themeColor="text1"/>
        </w:rPr>
        <w:t>Gimnazijos</w:t>
      </w:r>
      <w:r w:rsidR="00E71975" w:rsidRPr="00DD44A9">
        <w:rPr>
          <w:color w:val="000000" w:themeColor="text1"/>
        </w:rPr>
        <w:t xml:space="preserve"> mokinių, dalyvavusių šalies ir tarptautinėse olimpiadose, konkursuose, skaičius ir dalis (%) lyginant su bendru mokinių skaičiumi</w:t>
      </w:r>
      <w:r w:rsidR="0005034A">
        <w:rPr>
          <w:color w:val="000000" w:themeColor="text1"/>
        </w:rPr>
        <w:t>;</w:t>
      </w:r>
    </w:p>
    <w:p w14:paraId="337CDCCB" w14:textId="62ED7911" w:rsidR="0040063F" w:rsidRDefault="007D05C2" w:rsidP="00FE4C59">
      <w:pPr>
        <w:spacing w:line="360" w:lineRule="auto"/>
        <w:ind w:firstLine="567"/>
        <w:jc w:val="both"/>
      </w:pPr>
      <w:r>
        <w:t>4</w:t>
      </w:r>
      <w:r w:rsidR="0040063F">
        <w:t>.1.</w:t>
      </w:r>
      <w:r w:rsidR="00386D9F">
        <w:t>4</w:t>
      </w:r>
      <w:r w:rsidR="0040063F">
        <w:t>.</w:t>
      </w:r>
      <w:r w:rsidR="00855898">
        <w:t xml:space="preserve"> </w:t>
      </w:r>
      <w:r w:rsidR="00855898">
        <w:rPr>
          <w:color w:val="000000" w:themeColor="text1"/>
        </w:rPr>
        <w:t>m</w:t>
      </w:r>
      <w:r w:rsidR="00855898" w:rsidRPr="00500973">
        <w:rPr>
          <w:color w:val="000000" w:themeColor="text1"/>
        </w:rPr>
        <w:t xml:space="preserve">okinių, lankančių neformaliojo švietimo būrelius </w:t>
      </w:r>
      <w:r w:rsidR="00B12A10">
        <w:rPr>
          <w:color w:val="000000" w:themeColor="text1"/>
        </w:rPr>
        <w:t>Gimnazijoje</w:t>
      </w:r>
      <w:r w:rsidR="00855898" w:rsidRPr="00500973">
        <w:rPr>
          <w:color w:val="000000" w:themeColor="text1"/>
        </w:rPr>
        <w:t>, skaičius ir dalis (%) lyginant su bendru mokinių skaičiumi</w:t>
      </w:r>
      <w:r w:rsidR="0040063F">
        <w:t>;</w:t>
      </w:r>
    </w:p>
    <w:p w14:paraId="582F1B68" w14:textId="636D0232" w:rsidR="0040063F" w:rsidRDefault="007D05C2" w:rsidP="00FE4C59">
      <w:pPr>
        <w:spacing w:line="360" w:lineRule="auto"/>
        <w:ind w:firstLine="567"/>
        <w:jc w:val="both"/>
      </w:pPr>
      <w:r>
        <w:t>4</w:t>
      </w:r>
      <w:r w:rsidR="00386D9F">
        <w:t>.1.5</w:t>
      </w:r>
      <w:r w:rsidR="0040063F">
        <w:t>.</w:t>
      </w:r>
      <w:r w:rsidR="00855898">
        <w:t xml:space="preserve"> </w:t>
      </w:r>
      <w:r w:rsidR="00855898">
        <w:rPr>
          <w:color w:val="000000" w:themeColor="text1"/>
        </w:rPr>
        <w:t>n</w:t>
      </w:r>
      <w:r w:rsidR="00855898" w:rsidRPr="00500973">
        <w:rPr>
          <w:color w:val="000000" w:themeColor="text1"/>
        </w:rPr>
        <w:t xml:space="preserve">eformaliojo švietimo veiklose </w:t>
      </w:r>
      <w:r w:rsidR="00483D9F">
        <w:rPr>
          <w:color w:val="000000" w:themeColor="text1"/>
        </w:rPr>
        <w:t>Gimnazijoje ir už jos ribų</w:t>
      </w:r>
      <w:r w:rsidR="00855898">
        <w:rPr>
          <w:color w:val="000000" w:themeColor="text1"/>
        </w:rPr>
        <w:t xml:space="preserve"> </w:t>
      </w:r>
      <w:r w:rsidR="00483D9F" w:rsidRPr="00500973">
        <w:rPr>
          <w:color w:val="000000" w:themeColor="text1"/>
        </w:rPr>
        <w:t xml:space="preserve">dalyvaujančių </w:t>
      </w:r>
      <w:r w:rsidR="00855898" w:rsidRPr="00500973">
        <w:rPr>
          <w:color w:val="000000" w:themeColor="text1"/>
        </w:rPr>
        <w:t>mokinių skaičius ir dalis (%)</w:t>
      </w:r>
      <w:r w:rsidR="00855898">
        <w:rPr>
          <w:color w:val="000000" w:themeColor="text1"/>
        </w:rPr>
        <w:t xml:space="preserve"> </w:t>
      </w:r>
      <w:r w:rsidR="00855898" w:rsidRPr="00AB5777">
        <w:rPr>
          <w:color w:val="000000" w:themeColor="text1"/>
        </w:rPr>
        <w:t>lygin</w:t>
      </w:r>
      <w:r w:rsidR="00855898">
        <w:rPr>
          <w:color w:val="000000" w:themeColor="text1"/>
        </w:rPr>
        <w:t>ant su bendru mokinių skaičiumi</w:t>
      </w:r>
      <w:r w:rsidR="0040063F">
        <w:t>;</w:t>
      </w:r>
    </w:p>
    <w:p w14:paraId="55FDCA03" w14:textId="06B575E3" w:rsidR="0040063F" w:rsidRPr="0072765E" w:rsidRDefault="007D05C2" w:rsidP="00FE4C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40063F" w:rsidRPr="0072765E">
        <w:rPr>
          <w:b/>
          <w:bCs/>
        </w:rPr>
        <w:t>.2. Ugdymo procesų organizavimas ir valdymas:</w:t>
      </w:r>
    </w:p>
    <w:p w14:paraId="043BA784" w14:textId="26C34BC7" w:rsidR="0040063F" w:rsidRPr="00841A44" w:rsidRDefault="007D05C2" w:rsidP="00FE4C59">
      <w:pPr>
        <w:spacing w:line="360" w:lineRule="auto"/>
        <w:ind w:firstLine="567"/>
        <w:rPr>
          <w:color w:val="000000" w:themeColor="text1"/>
          <w:sz w:val="22"/>
          <w:szCs w:val="22"/>
        </w:rPr>
      </w:pPr>
      <w:r>
        <w:t>4</w:t>
      </w:r>
      <w:r w:rsidR="0040063F">
        <w:t>.2.1.</w:t>
      </w:r>
      <w:r w:rsidR="003940B3">
        <w:t xml:space="preserve"> </w:t>
      </w:r>
      <w:bookmarkStart w:id="3" w:name="_Hlk23857110"/>
      <w:r w:rsidR="00841A44">
        <w:rPr>
          <w:color w:val="000000" w:themeColor="text1"/>
        </w:rPr>
        <w:t>m</w:t>
      </w:r>
      <w:r w:rsidR="00841A44" w:rsidRPr="00841A44">
        <w:rPr>
          <w:color w:val="000000" w:themeColor="text1"/>
        </w:rPr>
        <w:t xml:space="preserve">okytojų ir mokinių skaičiaus santykis </w:t>
      </w:r>
      <w:bookmarkEnd w:id="3"/>
      <w:r w:rsidR="00B12A10">
        <w:rPr>
          <w:color w:val="000000" w:themeColor="text1"/>
        </w:rPr>
        <w:t>Gimnazijoje</w:t>
      </w:r>
      <w:r w:rsidR="00841A44">
        <w:rPr>
          <w:color w:val="000000" w:themeColor="text1"/>
        </w:rPr>
        <w:t>;</w:t>
      </w:r>
      <w:r w:rsidR="00841A44" w:rsidRPr="00841A44">
        <w:rPr>
          <w:color w:val="000000" w:themeColor="text1"/>
          <w:sz w:val="22"/>
          <w:szCs w:val="22"/>
        </w:rPr>
        <w:t xml:space="preserve"> </w:t>
      </w:r>
    </w:p>
    <w:p w14:paraId="7F961EEF" w14:textId="7990D205" w:rsidR="0040063F" w:rsidRDefault="007D05C2" w:rsidP="00FE4C59">
      <w:pPr>
        <w:spacing w:line="360" w:lineRule="auto"/>
        <w:ind w:firstLine="567"/>
        <w:jc w:val="both"/>
      </w:pPr>
      <w:r>
        <w:t>4</w:t>
      </w:r>
      <w:r w:rsidR="0040063F">
        <w:t>.2.2.</w:t>
      </w:r>
      <w:r w:rsidR="003940B3">
        <w:t xml:space="preserve"> </w:t>
      </w:r>
      <w:bookmarkStart w:id="4" w:name="_Hlk23862111"/>
      <w:r w:rsidR="00841A44">
        <w:t>v</w:t>
      </w:r>
      <w:r w:rsidR="00841A44" w:rsidRPr="00DD44A9">
        <w:t>ienai pagalbos mokiniui specialisto (specialiojo pedagogo, psichologo</w:t>
      </w:r>
      <w:r w:rsidR="00B12A10">
        <w:t>, socialinio pedagogo, logopedo</w:t>
      </w:r>
      <w:r w:rsidR="00841A44" w:rsidRPr="00DD44A9">
        <w:t>) etatinei pareigybei tenkančių mokinių skaičius</w:t>
      </w:r>
      <w:r w:rsidR="00841A44">
        <w:t xml:space="preserve"> </w:t>
      </w:r>
      <w:bookmarkEnd w:id="4"/>
      <w:r w:rsidR="00B12A10">
        <w:t>Gimnazijoje</w:t>
      </w:r>
      <w:r w:rsidR="00841A44">
        <w:t>;</w:t>
      </w:r>
    </w:p>
    <w:p w14:paraId="1BA89254" w14:textId="7147014D" w:rsidR="0040063F" w:rsidRDefault="007D05C2" w:rsidP="00FE4C59">
      <w:pPr>
        <w:spacing w:line="360" w:lineRule="auto"/>
        <w:ind w:firstLine="567"/>
        <w:jc w:val="both"/>
      </w:pPr>
      <w:r>
        <w:t>4</w:t>
      </w:r>
      <w:r w:rsidR="0040063F">
        <w:t>.2.</w:t>
      </w:r>
      <w:r w:rsidR="00841A44">
        <w:t>3</w:t>
      </w:r>
      <w:r w:rsidR="0040063F">
        <w:t>.</w:t>
      </w:r>
      <w:r w:rsidR="003940B3">
        <w:t xml:space="preserve"> </w:t>
      </w:r>
      <w:r w:rsidR="003940B3">
        <w:rPr>
          <w:color w:val="000000" w:themeColor="text1"/>
        </w:rPr>
        <w:t>p</w:t>
      </w:r>
      <w:r w:rsidR="003940B3" w:rsidRPr="000D6D2E">
        <w:rPr>
          <w:color w:val="000000" w:themeColor="text1"/>
        </w:rPr>
        <w:t xml:space="preserve">raleistų </w:t>
      </w:r>
      <w:r w:rsidR="003940B3">
        <w:rPr>
          <w:color w:val="000000" w:themeColor="text1"/>
        </w:rPr>
        <w:t xml:space="preserve">pamokų </w:t>
      </w:r>
      <w:r w:rsidR="003940B3" w:rsidRPr="000D6D2E">
        <w:rPr>
          <w:color w:val="000000" w:themeColor="text1"/>
        </w:rPr>
        <w:t xml:space="preserve">iš viso, iš jų nepateisintų </w:t>
      </w:r>
      <w:r w:rsidR="003940B3">
        <w:rPr>
          <w:color w:val="000000" w:themeColor="text1"/>
        </w:rPr>
        <w:t>pamokų, skaičius ir dalis (%) lyginant su bendru praleistų pamokų skaičiumi</w:t>
      </w:r>
      <w:r w:rsidR="003940B3" w:rsidRPr="000D6D2E">
        <w:rPr>
          <w:color w:val="000000" w:themeColor="text1"/>
        </w:rPr>
        <w:t>. Vidutinis vienam mokiniui tenkantis praleistų nepateisintų pamokų skaičius</w:t>
      </w:r>
      <w:r w:rsidR="00841A44">
        <w:t>.</w:t>
      </w:r>
    </w:p>
    <w:p w14:paraId="4DD8A362" w14:textId="30363ADB" w:rsidR="0040063F" w:rsidRDefault="007D05C2" w:rsidP="00FE4C59">
      <w:pPr>
        <w:spacing w:line="360" w:lineRule="auto"/>
        <w:ind w:firstLine="567"/>
        <w:jc w:val="both"/>
      </w:pPr>
      <w:r>
        <w:rPr>
          <w:b/>
        </w:rPr>
        <w:t>5</w:t>
      </w:r>
      <w:r w:rsidR="0040063F">
        <w:rPr>
          <w:b/>
        </w:rPr>
        <w:t>. Švietimo rezultatų rodikliai</w:t>
      </w:r>
      <w:r w:rsidR="0040063F">
        <w:t xml:space="preserve"> (parodo būvį pasibaigus tam tikram švietimo proceso etapui arba švietimo sukurtą produktą):</w:t>
      </w:r>
    </w:p>
    <w:p w14:paraId="0B00CE9B" w14:textId="07FDA0EA" w:rsidR="0040063F" w:rsidRPr="003940B3" w:rsidRDefault="000C482F" w:rsidP="00FE4C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40063F" w:rsidRPr="003940B3">
        <w:rPr>
          <w:b/>
          <w:bCs/>
        </w:rPr>
        <w:t>.1. Švietimo rezultatas:</w:t>
      </w:r>
    </w:p>
    <w:p w14:paraId="3902C848" w14:textId="788672B3" w:rsidR="0040063F" w:rsidRDefault="000C482F" w:rsidP="00FE4C59">
      <w:pPr>
        <w:spacing w:line="360" w:lineRule="auto"/>
        <w:ind w:firstLine="567"/>
        <w:jc w:val="both"/>
      </w:pPr>
      <w:r>
        <w:t>5</w:t>
      </w:r>
      <w:r w:rsidR="0040063F">
        <w:t>.1.1.</w:t>
      </w:r>
      <w:r w:rsidR="009B4B33">
        <w:t xml:space="preserve"> </w:t>
      </w:r>
      <w:r w:rsidR="009B4B33">
        <w:rPr>
          <w:color w:val="000000" w:themeColor="text1"/>
        </w:rPr>
        <w:t>a</w:t>
      </w:r>
      <w:r w:rsidR="009B4B33" w:rsidRPr="001F273B">
        <w:rPr>
          <w:color w:val="000000" w:themeColor="text1"/>
        </w:rPr>
        <w:t xml:space="preserve">biturientų, gavusių/negavusių Brandos atestatus, skaičius ir dalis (%) lyginant su bendru </w:t>
      </w:r>
      <w:bookmarkStart w:id="5" w:name="_GoBack"/>
      <w:r w:rsidR="009B4B33">
        <w:rPr>
          <w:color w:val="000000" w:themeColor="text1"/>
        </w:rPr>
        <w:t>abiturientų</w:t>
      </w:r>
      <w:r w:rsidR="009B4B33" w:rsidRPr="001F273B">
        <w:rPr>
          <w:color w:val="000000" w:themeColor="text1"/>
        </w:rPr>
        <w:t xml:space="preserve"> skaičiumi</w:t>
      </w:r>
      <w:r w:rsidR="0040063F">
        <w:t>;</w:t>
      </w:r>
    </w:p>
    <w:bookmarkEnd w:id="5"/>
    <w:p w14:paraId="3ACA3FEF" w14:textId="4FBBFEAB" w:rsidR="0040063F" w:rsidRDefault="000C482F" w:rsidP="00FE4C59">
      <w:pPr>
        <w:spacing w:line="360" w:lineRule="auto"/>
        <w:ind w:firstLine="567"/>
        <w:jc w:val="both"/>
      </w:pPr>
      <w:r>
        <w:t>5</w:t>
      </w:r>
      <w:r w:rsidR="0040063F">
        <w:t>.1.2.</w:t>
      </w:r>
      <w:r w:rsidR="009B4B33">
        <w:t xml:space="preserve"> </w:t>
      </w:r>
      <w:r w:rsidR="009B4B33">
        <w:rPr>
          <w:color w:val="000000" w:themeColor="text1"/>
        </w:rPr>
        <w:t>v</w:t>
      </w:r>
      <w:r w:rsidR="009B4B33" w:rsidRPr="00692D4E">
        <w:rPr>
          <w:color w:val="000000" w:themeColor="text1"/>
        </w:rPr>
        <w:t>alstybinių brandos egzaminų rezultatai</w:t>
      </w:r>
      <w:r w:rsidR="0040063F">
        <w:t>;</w:t>
      </w:r>
    </w:p>
    <w:p w14:paraId="7C037C20" w14:textId="50C83D03" w:rsidR="0040063F" w:rsidRDefault="000C482F" w:rsidP="00FE4C59">
      <w:pPr>
        <w:spacing w:line="360" w:lineRule="auto"/>
        <w:ind w:firstLine="567"/>
        <w:jc w:val="both"/>
      </w:pPr>
      <w:r>
        <w:lastRenderedPageBreak/>
        <w:t>5</w:t>
      </w:r>
      <w:r w:rsidR="0040063F">
        <w:t>.1.3.</w:t>
      </w:r>
      <w:r w:rsidR="009B4B33">
        <w:t xml:space="preserve"> </w:t>
      </w:r>
      <w:r w:rsidR="009B4B33">
        <w:rPr>
          <w:color w:val="000000" w:themeColor="text1"/>
        </w:rPr>
        <w:t>m</w:t>
      </w:r>
      <w:r w:rsidR="009B4B33" w:rsidRPr="00B54885">
        <w:rPr>
          <w:color w:val="000000" w:themeColor="text1"/>
        </w:rPr>
        <w:t>okinių, gavusių</w:t>
      </w:r>
      <w:r w:rsidR="009B4B33">
        <w:rPr>
          <w:color w:val="000000" w:themeColor="text1"/>
        </w:rPr>
        <w:t xml:space="preserve">/negavusių </w:t>
      </w:r>
      <w:r w:rsidR="009B4B33" w:rsidRPr="00B54885">
        <w:rPr>
          <w:color w:val="000000" w:themeColor="text1"/>
        </w:rPr>
        <w:t xml:space="preserve">Pagrindinio išsilavinimo pažymėjimus, skaičius ir dalis (%) lyginant su bendru besimokančiųjų </w:t>
      </w:r>
      <w:r w:rsidR="00B12A10">
        <w:rPr>
          <w:color w:val="000000" w:themeColor="text1"/>
        </w:rPr>
        <w:t>II</w:t>
      </w:r>
      <w:r w:rsidR="009B4B33" w:rsidRPr="00B54885">
        <w:rPr>
          <w:color w:val="000000" w:themeColor="text1"/>
        </w:rPr>
        <w:t xml:space="preserve"> klasėje skaičiumi</w:t>
      </w:r>
      <w:r w:rsidR="0040063F">
        <w:t>;</w:t>
      </w:r>
    </w:p>
    <w:p w14:paraId="2CBDE2B2" w14:textId="466EC80D" w:rsidR="009B4B33" w:rsidRDefault="000C482F" w:rsidP="00FE4C59">
      <w:pPr>
        <w:spacing w:line="360" w:lineRule="auto"/>
        <w:ind w:firstLine="567"/>
        <w:jc w:val="both"/>
        <w:rPr>
          <w:color w:val="000000" w:themeColor="text1"/>
          <w:spacing w:val="-1"/>
        </w:rPr>
      </w:pPr>
      <w:r>
        <w:t>5</w:t>
      </w:r>
      <w:r w:rsidR="0040063F">
        <w:t xml:space="preserve">.1.4. </w:t>
      </w:r>
      <w:r w:rsidR="009B4B33">
        <w:rPr>
          <w:color w:val="000000" w:themeColor="text1"/>
          <w:spacing w:val="-1"/>
        </w:rPr>
        <w:t>p</w:t>
      </w:r>
      <w:r w:rsidR="009B4B33" w:rsidRPr="006471DF">
        <w:rPr>
          <w:color w:val="000000" w:themeColor="text1"/>
          <w:spacing w:val="-1"/>
        </w:rPr>
        <w:t>agrindinio ugdymo pasiekimų patikrinimo rezultatai</w:t>
      </w:r>
      <w:r w:rsidR="009B4B33">
        <w:rPr>
          <w:color w:val="000000" w:themeColor="text1"/>
          <w:spacing w:val="-1"/>
        </w:rPr>
        <w:t>;</w:t>
      </w:r>
    </w:p>
    <w:p w14:paraId="0BAE7EF0" w14:textId="6EF21B0E" w:rsidR="009B4B33" w:rsidRDefault="000C482F" w:rsidP="00FE4C59">
      <w:pPr>
        <w:spacing w:line="360" w:lineRule="auto"/>
        <w:ind w:firstLine="567"/>
        <w:jc w:val="both"/>
        <w:rPr>
          <w:color w:val="000000" w:themeColor="text1"/>
        </w:rPr>
      </w:pPr>
      <w:r>
        <w:t>5</w:t>
      </w:r>
      <w:r w:rsidR="009B4B33">
        <w:t xml:space="preserve">.1.5. </w:t>
      </w:r>
      <w:bookmarkStart w:id="6" w:name="_Hlk23862929"/>
      <w:r w:rsidR="00E3408E">
        <w:rPr>
          <w:color w:val="000000" w:themeColor="text1"/>
        </w:rPr>
        <w:t>n</w:t>
      </w:r>
      <w:r w:rsidR="00F71B39" w:rsidRPr="00DD44A9">
        <w:rPr>
          <w:color w:val="000000" w:themeColor="text1"/>
        </w:rPr>
        <w:t>acionalinio mokinių pasiekimų patikrinimo rezultat</w:t>
      </w:r>
      <w:r w:rsidR="00F71B39">
        <w:rPr>
          <w:color w:val="000000" w:themeColor="text1"/>
        </w:rPr>
        <w:t>ų procentinis pasiskirstymas</w:t>
      </w:r>
      <w:r w:rsidR="00F71B39" w:rsidRPr="00DD44A9">
        <w:rPr>
          <w:color w:val="000000" w:themeColor="text1"/>
        </w:rPr>
        <w:t xml:space="preserve"> pagal mokymosi pasiekimų lygius</w:t>
      </w:r>
      <w:bookmarkEnd w:id="6"/>
      <w:r w:rsidR="00F71B39">
        <w:rPr>
          <w:color w:val="000000" w:themeColor="text1"/>
        </w:rPr>
        <w:t>;</w:t>
      </w:r>
    </w:p>
    <w:p w14:paraId="3EB84EA4" w14:textId="2787A7B9" w:rsidR="00F71B39" w:rsidRPr="00F71B39" w:rsidRDefault="000C482F" w:rsidP="00FE4C59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F71B39">
        <w:rPr>
          <w:color w:val="000000" w:themeColor="text1"/>
        </w:rPr>
        <w:t xml:space="preserve">.1.6. </w:t>
      </w:r>
      <w:bookmarkStart w:id="7" w:name="_Hlk23863019"/>
      <w:r w:rsidR="00E3408E">
        <w:rPr>
          <w:color w:val="000000" w:themeColor="text1"/>
        </w:rPr>
        <w:t>m</w:t>
      </w:r>
      <w:r w:rsidR="00F71B39" w:rsidRPr="00DD44A9">
        <w:rPr>
          <w:color w:val="000000" w:themeColor="text1"/>
        </w:rPr>
        <w:t>okinių, laimėjusių savivaldybės, šalies, tarptautinėse olimpiadose ir konkursuose, skaičius ir dalis (%) lyginant su bendru mokinių skaičiumi</w:t>
      </w:r>
      <w:bookmarkEnd w:id="7"/>
      <w:r w:rsidR="00F71B39">
        <w:rPr>
          <w:color w:val="000000" w:themeColor="text1"/>
        </w:rPr>
        <w:t>.</w:t>
      </w:r>
    </w:p>
    <w:p w14:paraId="40488079" w14:textId="4706888F" w:rsidR="0040063F" w:rsidRPr="009B4B33" w:rsidRDefault="000C482F" w:rsidP="00FE4C5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40063F" w:rsidRPr="009B4B33">
        <w:rPr>
          <w:b/>
          <w:bCs/>
        </w:rPr>
        <w:t>.2. Švietimo pasekmės:</w:t>
      </w:r>
    </w:p>
    <w:p w14:paraId="38758025" w14:textId="34ECC875" w:rsidR="0040063F" w:rsidRDefault="000C482F" w:rsidP="00FE4C59">
      <w:pPr>
        <w:spacing w:line="360" w:lineRule="auto"/>
        <w:ind w:firstLine="567"/>
        <w:jc w:val="both"/>
      </w:pPr>
      <w:r>
        <w:t>5</w:t>
      </w:r>
      <w:r w:rsidR="0040063F">
        <w:t>.2.1.</w:t>
      </w:r>
      <w:r w:rsidR="009B4B33">
        <w:t xml:space="preserve"> </w:t>
      </w:r>
      <w:r w:rsidR="009B4B33">
        <w:rPr>
          <w:color w:val="000000" w:themeColor="text1"/>
        </w:rPr>
        <w:t>į</w:t>
      </w:r>
      <w:r w:rsidR="009B4B33" w:rsidRPr="00EF4339">
        <w:rPr>
          <w:color w:val="000000" w:themeColor="text1"/>
        </w:rPr>
        <w:t>stojusių į aukštąsias universitetines mokyklas, aukštąsias neuniversitetines mokyklas, profesinio mokymo įstaigas</w:t>
      </w:r>
      <w:r w:rsidR="009B4B33">
        <w:rPr>
          <w:color w:val="000000" w:themeColor="text1"/>
        </w:rPr>
        <w:t xml:space="preserve"> ir dirbančių</w:t>
      </w:r>
      <w:r w:rsidR="009B4B33" w:rsidRPr="00EF4339">
        <w:rPr>
          <w:color w:val="000000" w:themeColor="text1"/>
        </w:rPr>
        <w:t xml:space="preserve"> abiturientų skaičius ir dalis (%) lyginant su bendru</w:t>
      </w:r>
      <w:r w:rsidR="00292009">
        <w:rPr>
          <w:color w:val="000000" w:themeColor="text1"/>
        </w:rPr>
        <w:t xml:space="preserve"> </w:t>
      </w:r>
      <w:r w:rsidR="00B12A10">
        <w:rPr>
          <w:color w:val="000000" w:themeColor="text1"/>
        </w:rPr>
        <w:t>Gimnazijos</w:t>
      </w:r>
      <w:r w:rsidR="009B4B33" w:rsidRPr="00EF4339">
        <w:rPr>
          <w:color w:val="000000" w:themeColor="text1"/>
        </w:rPr>
        <w:t xml:space="preserve"> abiturientų skaičiumi</w:t>
      </w:r>
      <w:r w:rsidR="00E3408E">
        <w:t>.</w:t>
      </w:r>
    </w:p>
    <w:p w14:paraId="3BA059B4" w14:textId="173F7E23" w:rsidR="0040063F" w:rsidRPr="000A5DDC" w:rsidRDefault="00F90665" w:rsidP="00FE4C59">
      <w:pPr>
        <w:spacing w:line="360" w:lineRule="auto"/>
        <w:ind w:firstLine="567"/>
        <w:jc w:val="both"/>
        <w:rPr>
          <w:color w:val="000000"/>
        </w:rPr>
      </w:pPr>
      <w:r w:rsidRPr="000A5DDC">
        <w:rPr>
          <w:color w:val="000000"/>
        </w:rPr>
        <w:t xml:space="preserve">5.2.2. </w:t>
      </w:r>
      <w:r w:rsidR="00220B53" w:rsidRPr="000A5DDC">
        <w:rPr>
          <w:rFonts w:eastAsia="Calibri"/>
        </w:rPr>
        <w:t xml:space="preserve">baigusiųjų pagrindinio ugdymo programą ir tais pačiais metais tęsiančių mokymąsi kitame švietimo lygmenyje arba įsidarbinusių asmenų skaičius ir dalis </w:t>
      </w:r>
      <w:r w:rsidR="00220B53" w:rsidRPr="000A5DDC">
        <w:rPr>
          <w:color w:val="000000" w:themeColor="text1"/>
        </w:rPr>
        <w:t>(%).</w:t>
      </w:r>
    </w:p>
    <w:p w14:paraId="119E3259" w14:textId="77777777" w:rsidR="0040063F" w:rsidRDefault="0040063F" w:rsidP="0040063F">
      <w:pPr>
        <w:tabs>
          <w:tab w:val="left" w:pos="2655"/>
        </w:tabs>
        <w:spacing w:line="360" w:lineRule="auto"/>
        <w:jc w:val="both"/>
      </w:pPr>
      <w:r>
        <w:tab/>
        <w:t>____________________________________</w:t>
      </w:r>
    </w:p>
    <w:p w14:paraId="7CFE3FA5" w14:textId="77777777" w:rsidR="0040063F" w:rsidRDefault="0040063F"/>
    <w:sectPr w:rsidR="0040063F" w:rsidSect="00FE4C59">
      <w:headerReference w:type="default" r:id="rId6"/>
      <w:footerReference w:type="default" r:id="rId7"/>
      <w:pgSz w:w="11906" w:h="16838"/>
      <w:pgMar w:top="709" w:right="567" w:bottom="284" w:left="1701" w:header="567" w:footer="68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54C5" w14:textId="77777777" w:rsidR="00A176D9" w:rsidRDefault="00A176D9" w:rsidP="00595514">
      <w:r>
        <w:separator/>
      </w:r>
    </w:p>
  </w:endnote>
  <w:endnote w:type="continuationSeparator" w:id="0">
    <w:p w14:paraId="70606627" w14:textId="77777777" w:rsidR="00A176D9" w:rsidRDefault="00A176D9" w:rsidP="0059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0AF7" w14:textId="56F05024" w:rsidR="00DE5A59" w:rsidRDefault="00DE5A59">
    <w:pPr>
      <w:pStyle w:val="Porat"/>
      <w:jc w:val="center"/>
    </w:pPr>
  </w:p>
  <w:p w14:paraId="7AAC1827" w14:textId="77777777" w:rsidR="00DE5A59" w:rsidRDefault="00DE5A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F037" w14:textId="77777777" w:rsidR="00A176D9" w:rsidRDefault="00A176D9" w:rsidP="00595514">
      <w:r>
        <w:separator/>
      </w:r>
    </w:p>
  </w:footnote>
  <w:footnote w:type="continuationSeparator" w:id="0">
    <w:p w14:paraId="7246A819" w14:textId="77777777" w:rsidR="00A176D9" w:rsidRDefault="00A176D9" w:rsidP="0059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359951"/>
      <w:docPartObj>
        <w:docPartGallery w:val="Page Numbers (Top of Page)"/>
        <w:docPartUnique/>
      </w:docPartObj>
    </w:sdtPr>
    <w:sdtContent>
      <w:p w14:paraId="704F7E16" w14:textId="06EE4458" w:rsidR="00FE4C59" w:rsidRDefault="00FE4C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14B827" w14:textId="77777777" w:rsidR="00FE4C59" w:rsidRDefault="00FE4C5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F"/>
    <w:rsid w:val="0005034A"/>
    <w:rsid w:val="0007063F"/>
    <w:rsid w:val="00075F38"/>
    <w:rsid w:val="0009303A"/>
    <w:rsid w:val="00096650"/>
    <w:rsid w:val="000A5DDC"/>
    <w:rsid w:val="000B51A3"/>
    <w:rsid w:val="000C482F"/>
    <w:rsid w:val="00123A7F"/>
    <w:rsid w:val="00127582"/>
    <w:rsid w:val="001E399E"/>
    <w:rsid w:val="00211A70"/>
    <w:rsid w:val="00220B53"/>
    <w:rsid w:val="00245769"/>
    <w:rsid w:val="00292009"/>
    <w:rsid w:val="002B1E5E"/>
    <w:rsid w:val="002B5E48"/>
    <w:rsid w:val="002E0D5E"/>
    <w:rsid w:val="003656A8"/>
    <w:rsid w:val="00383F41"/>
    <w:rsid w:val="00386D9F"/>
    <w:rsid w:val="003940B3"/>
    <w:rsid w:val="00395D27"/>
    <w:rsid w:val="003E4069"/>
    <w:rsid w:val="0040063F"/>
    <w:rsid w:val="004178CB"/>
    <w:rsid w:val="00421609"/>
    <w:rsid w:val="004402FF"/>
    <w:rsid w:val="0045216A"/>
    <w:rsid w:val="00483D9F"/>
    <w:rsid w:val="004937F8"/>
    <w:rsid w:val="004A78A8"/>
    <w:rsid w:val="00504B8C"/>
    <w:rsid w:val="00541EBC"/>
    <w:rsid w:val="00595514"/>
    <w:rsid w:val="005F3601"/>
    <w:rsid w:val="005F6D7B"/>
    <w:rsid w:val="00605F41"/>
    <w:rsid w:val="00611DA8"/>
    <w:rsid w:val="006412D3"/>
    <w:rsid w:val="00692BB2"/>
    <w:rsid w:val="00710DE5"/>
    <w:rsid w:val="00711602"/>
    <w:rsid w:val="0072765E"/>
    <w:rsid w:val="0073607F"/>
    <w:rsid w:val="00745784"/>
    <w:rsid w:val="00756957"/>
    <w:rsid w:val="00777D36"/>
    <w:rsid w:val="007A61DD"/>
    <w:rsid w:val="007D05C2"/>
    <w:rsid w:val="00816AD2"/>
    <w:rsid w:val="00841A44"/>
    <w:rsid w:val="00855898"/>
    <w:rsid w:val="0088544C"/>
    <w:rsid w:val="008A5759"/>
    <w:rsid w:val="008B7F76"/>
    <w:rsid w:val="008C0CBE"/>
    <w:rsid w:val="008E391D"/>
    <w:rsid w:val="00916B41"/>
    <w:rsid w:val="00941AB3"/>
    <w:rsid w:val="009B44CC"/>
    <w:rsid w:val="009B4B33"/>
    <w:rsid w:val="009D5459"/>
    <w:rsid w:val="009F3ED8"/>
    <w:rsid w:val="009F6615"/>
    <w:rsid w:val="00A176D9"/>
    <w:rsid w:val="00A17D50"/>
    <w:rsid w:val="00A23379"/>
    <w:rsid w:val="00A71133"/>
    <w:rsid w:val="00A80359"/>
    <w:rsid w:val="00AA10DC"/>
    <w:rsid w:val="00AA2685"/>
    <w:rsid w:val="00AE419A"/>
    <w:rsid w:val="00B12A10"/>
    <w:rsid w:val="00B1433D"/>
    <w:rsid w:val="00B31A01"/>
    <w:rsid w:val="00B57892"/>
    <w:rsid w:val="00BD2616"/>
    <w:rsid w:val="00C253CE"/>
    <w:rsid w:val="00C820DD"/>
    <w:rsid w:val="00C91AF2"/>
    <w:rsid w:val="00CE0077"/>
    <w:rsid w:val="00D051AA"/>
    <w:rsid w:val="00D23131"/>
    <w:rsid w:val="00D57454"/>
    <w:rsid w:val="00D81DBD"/>
    <w:rsid w:val="00DA4301"/>
    <w:rsid w:val="00DA5001"/>
    <w:rsid w:val="00DA5006"/>
    <w:rsid w:val="00DE5A59"/>
    <w:rsid w:val="00DF323C"/>
    <w:rsid w:val="00E3408E"/>
    <w:rsid w:val="00E71975"/>
    <w:rsid w:val="00EB5316"/>
    <w:rsid w:val="00ED18EF"/>
    <w:rsid w:val="00ED474B"/>
    <w:rsid w:val="00EE0B74"/>
    <w:rsid w:val="00EE5977"/>
    <w:rsid w:val="00F05B4B"/>
    <w:rsid w:val="00F71B39"/>
    <w:rsid w:val="00F90665"/>
    <w:rsid w:val="00FA6604"/>
    <w:rsid w:val="00FE1595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916820"/>
  <w15:docId w15:val="{68020222-F1AF-477C-A855-90F4078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40063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955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551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955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95514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38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3254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Marija Murmulaitienė</cp:lastModifiedBy>
  <cp:revision>2</cp:revision>
  <dcterms:created xsi:type="dcterms:W3CDTF">2020-11-18T11:59:00Z</dcterms:created>
  <dcterms:modified xsi:type="dcterms:W3CDTF">2020-11-18T11:59:00Z</dcterms:modified>
</cp:coreProperties>
</file>